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204"/>
        <w:gridCol w:w="4252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6204" w:type="dxa"/>
            <w:vAlign w:val="top"/>
            <w:textDirection w:val="lrTb"/>
            <w:noWrap w:val="false"/>
          </w:tcPr>
          <w:p>
            <w:pPr>
              <w:pStyle w:val="859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</w:rPr>
              <w:t xml:space="preserve">СО ТЗ.0001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59"/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59"/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59"/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УТВЕРЖДАЮ: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59"/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Заместитель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генерального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директора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59"/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 техническим вопросам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59"/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главный инженер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59"/>
              <w:ind w:left="-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_____________А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.И. Таранков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«___»___________ 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59"/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59"/>
        <w:spacing w:after="0" w:line="240" w:lineRule="auto"/>
        <w:tabs>
          <w:tab w:val="left" w:pos="680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ТЕХНИЧЕСКОЕ ЗАДАНИЕ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 проведение закупки на поставку самонесущего изолированного провода (СИП) на напряжение до 35кВ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left="708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1. Общие положения.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859"/>
        <w:ind w:firstLine="709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1.1 Заказчик: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АО «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Россети Сибирь </w:t>
      </w:r>
      <w:r>
        <w:rPr>
          <w:rFonts w:ascii="Times New Roman" w:hAnsi="Times New Roman" w:eastAsia="Times New Roman" w:cs="Times New Roman"/>
          <w:bCs/>
          <w:sz w:val="24"/>
          <w:szCs w:val="24"/>
        </w:rPr>
        <w:t xml:space="preserve">Тываэнерго».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1.2 Предмет закупки: поставка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провода СИП на напряжение до 35кВ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2. Место, срок и условия поставки.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859"/>
        <w:ind w:firstLine="709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2.1 Место поставки: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Центральный склад, г. Кызыл, ул. Колхозная,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2б.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2.2 Поставка продукции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осуществляется транспортными средствами до склада Заказчика.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Упаковка, маркировка, временная антикоррозионная защита, условия транспортирования, в том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31946-2012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2.3 Срок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поставки: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течение 30 календарных дней с даты заключения договора поставки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3. Цена, перечень и объемы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Цена,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перечень и объемы поставки указаны в приложении 1.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3.2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Все налоги, сборы, отчисления и другие платежи, включая таможенные платежи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сборы, а также расходы на транспортировку продукции до места поставки, стоимость тары и упак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овки, гарантийные обязательства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включены в стоимость заявки/предложения участника.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eastAsia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4. Общие технические требования к поставляемой продукции.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4.1. Поставляемая продукция должна быть изготовлена в год поставки или предшествующий ему и быть ранее не использованной;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4.2. Продукция должна соответствовать требованиям: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Положения ПАО «Россети» О единой технической политике в электросетевом комплексе.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4.3. 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Вся сопроводительная документация должна быть составлена на русском языке и передана заказчику вместе с поставляемой продукцией.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Поставляемые материалы должны быть рассчитаны на эксплуатацию в непрерывном режиме круглосуточно в заданных условиях в течение установленного срока службы.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Маркировка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4.6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Характеристики и требования к поставляемым матери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алам представлены в приложении 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настоящему техническому заданию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4.7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Предлагаемые к поставке материалы, должны соответствовать требованиям приложения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настоящему ТЗ и действующим в РФ нормативным документам.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Гарантийные обязательства.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Срок гарантии на поставляемые материалы должен быть не менее 5 лет. Время начала исчисления гарантийного срока – с момента ввода материалов в эксплуатацию.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Участник должен за свой счет и сроки, согласованные с заказчиком, устранять любые дефекты в поставляемых материалах, выявленные в течение гарантийного срока.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Правила приемки.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оборудования на склад.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приемке продукции осуществляется: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– внешний осмотр тары и упаковки: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– проверку соответствия количества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отгруженных и поступивших поставочных мест;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25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253" w:type="dxa"/>
            <w:vAlign w:val="top"/>
            <w:textDirection w:val="lrTb"/>
            <w:noWrap w:val="false"/>
          </w:tcPr>
          <w:p>
            <w:pPr>
              <w:pStyle w:val="859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УИиКС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5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Шатохин Д.В.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253" w:type="dxa"/>
            <w:vAlign w:val="top"/>
            <w:textDirection w:val="lrTb"/>
            <w:noWrap w:val="false"/>
          </w:tcPr>
          <w:p>
            <w:pPr>
              <w:pStyle w:val="859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ачальник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ТОиРОЭХ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5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Князев В.В.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253" w:type="dxa"/>
            <w:vAlign w:val="top"/>
            <w:textDirection w:val="lrTb"/>
            <w:noWrap w:val="false"/>
          </w:tcPr>
          <w:p>
            <w:pPr>
              <w:pStyle w:val="859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ачальник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vAlign w:val="top"/>
            <w:textDirection w:val="lrTb"/>
            <w:noWrap w:val="false"/>
          </w:tcPr>
          <w:p>
            <w:pPr>
              <w:pStyle w:val="85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Власов В.В.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5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9"/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lef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lef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pStyle w:val="859"/>
        <w:jc w:val="lef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pStyle w:val="859"/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pStyle w:val="859"/>
        <w:jc w:val="righ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p>
      <w:pPr>
        <w:pStyle w:val="859"/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 xml:space="preserve">Приложение </w:t>
      </w:r>
      <w:r>
        <w:rPr>
          <w:rFonts w:ascii="Times New Roman" w:hAnsi="Times New Roman" w:eastAsia="Times New Roman"/>
          <w:sz w:val="24"/>
        </w:rPr>
        <w:t xml:space="preserve">2</w:t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pStyle w:val="859"/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 xml:space="preserve">к техническому заданию</w:t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pStyle w:val="859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pStyle w:val="859"/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p>
      <w:pPr>
        <w:pStyle w:val="859"/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Характеристики и требования к поставляемому 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pStyle w:val="859"/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СИП-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4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 4*16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pStyle w:val="859"/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i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i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i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i/>
          <w:sz w:val="26"/>
          <w:szCs w:val="26"/>
        </w:rPr>
      </w:r>
    </w:p>
    <w:tbl>
      <w:tblPr>
        <w:tblW w:w="10632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pStyle w:val="859"/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pStyle w:val="859"/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Количество, м.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5000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Основные параметры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Расчетный вес, кг/км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269,00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Допустимый ток нагрузки на воздухе при температуре 25° С, 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Электрическое сопротивление 1 км фазной жилы постоянному току, Ом, не более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1,91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r>
          </w:p>
        </w:tc>
        <w:tc>
          <w:tcPr>
            <w:tcW w:w="1842" w:type="dxa"/>
            <w:vAlign w:val="top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+50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5.4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Высота установки над уровнем моря, 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Не более 1000м.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Сейсмичность района, баллов по шкале MSK-64,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Срок гарантийного обслуживания с момента ввода в эксплуатацию, месяцев,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Требования по безопасности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Наличие российских сертификатов безопасности (да/нет)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Соответствие  ГОСТ 12.2.003-91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iCs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п.п.1.2., 1.6., 2.1.10., 2.1.11, 2.1.13., 2.1.14., (да/нет)</w:t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top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top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top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Наличие «шок-индикатора» на транспортной упаковке для контроля условий транспортировки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top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top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</w:tbl>
    <w:p>
      <w:pPr>
        <w:pStyle w:val="859"/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p>
      <w:pPr>
        <w:pStyle w:val="859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pStyle w:val="859"/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Характеристики и требования к поставляемому 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pStyle w:val="859"/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СИП-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4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 4*25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pStyle w:val="859"/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i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i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i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i/>
          <w:sz w:val="26"/>
          <w:szCs w:val="26"/>
        </w:rPr>
      </w:r>
    </w:p>
    <w:tbl>
      <w:tblPr>
        <w:tblW w:w="10632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pStyle w:val="859"/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pStyle w:val="859"/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Количество, м.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7000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Основные параметры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Расчетный вес, кг/км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381,00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Допустимый ток нагрузки на воздухе при температуре 25° С, 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130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Электрическое сопротивление 1 км фазной жилы постоянному току, Ом, не более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1,2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r>
          </w:p>
        </w:tc>
        <w:tc>
          <w:tcPr>
            <w:tcW w:w="1842" w:type="dxa"/>
            <w:vAlign w:val="top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+50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5.4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Высота установки над уровнем моря, 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Не более 1000м.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Сейсмичность района, баллов по шкале MSK-64,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Срок гарантийного обслуживания с момента ввода в эксплуатацию, месяцев,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Требования по безопасности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Наличие российских сертификатов безопасности (да/нет)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Соответствие  ГОСТ 12.2.003-91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iCs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п.п.1.2., 1.6., 2.1.10., 2.1.11, 2.1.13., 2.1.14., (да/нет)</w:t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top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top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top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Наличие «шок-индикатора» на транспортной упаковке для контроля условий транспортировки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top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top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</w:tbl>
    <w:p>
      <w:pPr>
        <w:pStyle w:val="859"/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p>
      <w:pPr>
        <w:pStyle w:val="859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pStyle w:val="859"/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Характеристики и требования к поставляемому 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pStyle w:val="859"/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СИП-2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 3*50+1*70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pStyle w:val="859"/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i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i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i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i/>
          <w:sz w:val="26"/>
          <w:szCs w:val="26"/>
        </w:rPr>
      </w:r>
    </w:p>
    <w:tbl>
      <w:tblPr>
        <w:tblW w:w="10632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pStyle w:val="859"/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pStyle w:val="859"/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keepLines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keepNext/>
              <w:spacing w:after="0" w:line="240" w:lineRule="auto"/>
              <w:rPr>
                <w:rFonts w:ascii="Times New Roman" w:hAnsi="Times New Roman" w:eastAsia="Times New Roman"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Количество, м.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7000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shd w:val="clear" w:color="auto" w:fill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outlineLvl w:val="3"/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Основные параметры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Расчетный вес, кг/км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893,00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Допустимый ток нагрузки на воздухе при температуре 25° С, 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195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4.3.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Электрическое сопротивление 1 км фазной жилы постоянному току, Ом, не более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0,493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bCs/>
                <w:strike/>
                <w:sz w:val="24"/>
                <w:szCs w:val="24"/>
              </w:rPr>
            </w:r>
          </w:p>
        </w:tc>
        <w:tc>
          <w:tcPr>
            <w:tcW w:w="1842" w:type="dxa"/>
            <w:vAlign w:val="top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trike/>
                <w:sz w:val="24"/>
                <w:szCs w:val="24"/>
              </w:rPr>
            </w:r>
          </w:p>
        </w:tc>
        <w:tc>
          <w:tcPr>
            <w:tcW w:w="1843" w:type="dxa"/>
            <w:vAlign w:val="top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+50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shd w:val="clear" w:color="auto" w:fill="ffffff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>
          <w:trHeight w:val="279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5.4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Высота установки над уровнем моря, м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Не более 1000м.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5.5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Сейсмичность района, баллов по шкале MSK-64,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Срок гарантийного обслуживания с момента ввода в эксплуатацию, месяцев,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Требования по безопасности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Наличие российских сертификатов безопасности (да/нет)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Соответствие  ГОСТ 12.2.003-91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iCs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п.п.1.2., 1.6., 2.1.10., 2.1.11, 2.1.13., 2.1.14., (да/нет)</w:t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iCs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  <w:r>
              <w:rPr>
                <w:rFonts w:ascii="Times New Roman" w:hAnsi="Times New Roman" w:eastAsia="Times New Roman"/>
                <w:iCs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top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.2.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top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.3.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top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Наличие «шок-индикатора» на транспортной упаковке для контроля условий транспортировки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.4.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top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8.5.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6237" w:type="dxa"/>
            <w:vAlign w:val="top"/>
            <w:textDirection w:val="lrTb"/>
            <w:noWrap w:val="false"/>
          </w:tcPr>
          <w:p>
            <w:pPr>
              <w:pStyle w:val="859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859"/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</w:rPr>
            </w:r>
          </w:p>
        </w:tc>
      </w:tr>
    </w:tbl>
    <w:p>
      <w:pPr>
        <w:pStyle w:val="859"/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p>
      <w:pPr>
        <w:pStyle w:val="859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sz w:val="26"/>
          <w:szCs w:val="26"/>
          <w:highlight w:val="none"/>
        </w:rPr>
      </w:r>
      <w:r>
        <w:rPr>
          <w:rFonts w:ascii="Times New Roman" w:hAnsi="Times New Roman" w:eastAsia="Times New Roman"/>
          <w:b/>
          <w:bCs/>
          <w:sz w:val="26"/>
          <w:szCs w:val="26"/>
        </w:rPr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eastAsia="Times New Roman"/>
          <w:b/>
          <w:sz w:val="26"/>
          <w:szCs w:val="26"/>
          <w:highlight w:val="none"/>
        </w:rPr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</w:rPr>
      </w:pPr>
      <w:r>
        <w:rPr>
          <w:rFonts w:ascii="Times New Roman" w:hAnsi="Times New Roman" w:eastAsia="Times New Roman"/>
          <w:b/>
          <w:sz w:val="26"/>
          <w:szCs w:val="26"/>
          <w:highlight w:val="none"/>
        </w:rPr>
      </w:r>
      <w:r>
        <w:rPr>
          <w:rFonts w:ascii="Times New Roman" w:hAnsi="Times New Roman" w:eastAsia="Times New Roman"/>
          <w:b/>
          <w:bCs/>
          <w:sz w:val="26"/>
          <w:szCs w:val="26"/>
        </w:rPr>
      </w:r>
      <w:r>
        <w:rPr>
          <w:rFonts w:ascii="Times New Roman" w:hAnsi="Times New Roman" w:eastAsia="Times New Roman"/>
          <w:b/>
          <w:bCs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eastAsia="Times New Roman"/>
          <w:b/>
          <w:sz w:val="26"/>
          <w:szCs w:val="26"/>
          <w:highlight w:val="none"/>
        </w:rPr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</w:p>
    <w:sectPr>
      <w:footerReference w:type="default" r:id="rId9"/>
      <w:footnotePr/>
      <w:endnotePr/>
      <w:type w:val="nextPage"/>
      <w:pgSz w:w="12240" w:h="15840" w:orient="portrait"/>
      <w:pgMar w:top="567" w:right="709" w:bottom="567" w:left="1276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11</w:t>
    </w:r>
    <w:r>
      <w:fldChar w:fldCharType="end"/>
    </w:r>
    <w:r/>
  </w:p>
  <w:p>
    <w:pPr>
      <w:pStyle w:val="87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479" w:hanging="360"/>
        <w:tabs>
          <w:tab w:val="num" w:pos="3479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  <w:tabs>
          <w:tab w:val="num" w:pos="1070" w:leader="none"/>
        </w:tabs>
      </w:pPr>
      <w:rPr>
        <w:rFonts w:cs="Times New Roman"/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7" w:hanging="607"/>
        <w:tabs>
          <w:tab w:val="num" w:pos="607" w:leader="none"/>
        </w:tabs>
      </w:pPr>
      <w:rPr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180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2">
    <w:name w:val="Heading 1"/>
    <w:basedOn w:val="859"/>
    <w:next w:val="859"/>
    <w:link w:val="6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3">
    <w:name w:val="Heading 1 Char"/>
    <w:link w:val="682"/>
    <w:uiPriority w:val="9"/>
    <w:rPr>
      <w:rFonts w:ascii="Arial" w:hAnsi="Arial" w:eastAsia="Arial" w:cs="Arial"/>
      <w:sz w:val="40"/>
      <w:szCs w:val="40"/>
    </w:rPr>
  </w:style>
  <w:style w:type="paragraph" w:styleId="684">
    <w:name w:val="Heading 2"/>
    <w:basedOn w:val="859"/>
    <w:next w:val="859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5">
    <w:name w:val="Heading 2 Char"/>
    <w:link w:val="684"/>
    <w:uiPriority w:val="9"/>
    <w:rPr>
      <w:rFonts w:ascii="Arial" w:hAnsi="Arial" w:eastAsia="Arial" w:cs="Arial"/>
      <w:sz w:val="34"/>
    </w:rPr>
  </w:style>
  <w:style w:type="paragraph" w:styleId="686">
    <w:name w:val="Heading 3"/>
    <w:basedOn w:val="859"/>
    <w:next w:val="859"/>
    <w:link w:val="68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7">
    <w:name w:val="Heading 3 Char"/>
    <w:link w:val="686"/>
    <w:uiPriority w:val="9"/>
    <w:rPr>
      <w:rFonts w:ascii="Arial" w:hAnsi="Arial" w:eastAsia="Arial" w:cs="Arial"/>
      <w:sz w:val="30"/>
      <w:szCs w:val="30"/>
    </w:rPr>
  </w:style>
  <w:style w:type="paragraph" w:styleId="688">
    <w:name w:val="Heading 4"/>
    <w:basedOn w:val="859"/>
    <w:next w:val="859"/>
    <w:link w:val="68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9">
    <w:name w:val="Heading 4 Char"/>
    <w:link w:val="688"/>
    <w:uiPriority w:val="9"/>
    <w:rPr>
      <w:rFonts w:ascii="Arial" w:hAnsi="Arial" w:eastAsia="Arial" w:cs="Arial"/>
      <w:b/>
      <w:bCs/>
      <w:sz w:val="26"/>
      <w:szCs w:val="26"/>
    </w:rPr>
  </w:style>
  <w:style w:type="paragraph" w:styleId="690">
    <w:name w:val="Heading 5"/>
    <w:basedOn w:val="859"/>
    <w:next w:val="859"/>
    <w:link w:val="69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1">
    <w:name w:val="Heading 5 Char"/>
    <w:link w:val="690"/>
    <w:uiPriority w:val="9"/>
    <w:rPr>
      <w:rFonts w:ascii="Arial" w:hAnsi="Arial" w:eastAsia="Arial" w:cs="Arial"/>
      <w:b/>
      <w:bCs/>
      <w:sz w:val="24"/>
      <w:szCs w:val="24"/>
    </w:rPr>
  </w:style>
  <w:style w:type="paragraph" w:styleId="692">
    <w:name w:val="Heading 6"/>
    <w:basedOn w:val="859"/>
    <w:next w:val="859"/>
    <w:link w:val="69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3">
    <w:name w:val="Heading 6 Char"/>
    <w:link w:val="692"/>
    <w:uiPriority w:val="9"/>
    <w:rPr>
      <w:rFonts w:ascii="Arial" w:hAnsi="Arial" w:eastAsia="Arial" w:cs="Arial"/>
      <w:b/>
      <w:bCs/>
      <w:sz w:val="22"/>
      <w:szCs w:val="22"/>
    </w:rPr>
  </w:style>
  <w:style w:type="paragraph" w:styleId="694">
    <w:name w:val="Heading 7"/>
    <w:basedOn w:val="859"/>
    <w:next w:val="859"/>
    <w:link w:val="69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5">
    <w:name w:val="Heading 7 Char"/>
    <w:link w:val="6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6">
    <w:name w:val="Heading 8"/>
    <w:basedOn w:val="859"/>
    <w:next w:val="859"/>
    <w:link w:val="69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7">
    <w:name w:val="Heading 8 Char"/>
    <w:link w:val="696"/>
    <w:uiPriority w:val="9"/>
    <w:rPr>
      <w:rFonts w:ascii="Arial" w:hAnsi="Arial" w:eastAsia="Arial" w:cs="Arial"/>
      <w:i/>
      <w:iCs/>
      <w:sz w:val="22"/>
      <w:szCs w:val="22"/>
    </w:rPr>
  </w:style>
  <w:style w:type="paragraph" w:styleId="698">
    <w:name w:val="Heading 9"/>
    <w:basedOn w:val="859"/>
    <w:next w:val="859"/>
    <w:link w:val="69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9">
    <w:name w:val="Heading 9 Char"/>
    <w:link w:val="698"/>
    <w:uiPriority w:val="9"/>
    <w:rPr>
      <w:rFonts w:ascii="Arial" w:hAnsi="Arial" w:eastAsia="Arial" w:cs="Arial"/>
      <w:i/>
      <w:iCs/>
      <w:sz w:val="21"/>
      <w:szCs w:val="21"/>
    </w:rPr>
  </w:style>
  <w:style w:type="paragraph" w:styleId="700">
    <w:name w:val="No Spacing"/>
    <w:uiPriority w:val="1"/>
    <w:qFormat/>
    <w:pPr>
      <w:spacing w:before="0" w:after="0" w:line="240" w:lineRule="auto"/>
    </w:pPr>
  </w:style>
  <w:style w:type="paragraph" w:styleId="701">
    <w:name w:val="Title"/>
    <w:basedOn w:val="859"/>
    <w:next w:val="859"/>
    <w:link w:val="70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2">
    <w:name w:val="Title Char"/>
    <w:link w:val="701"/>
    <w:uiPriority w:val="10"/>
    <w:rPr>
      <w:sz w:val="48"/>
      <w:szCs w:val="48"/>
    </w:rPr>
  </w:style>
  <w:style w:type="paragraph" w:styleId="703">
    <w:name w:val="Subtitle"/>
    <w:basedOn w:val="859"/>
    <w:next w:val="859"/>
    <w:link w:val="704"/>
    <w:uiPriority w:val="11"/>
    <w:qFormat/>
    <w:pPr>
      <w:spacing w:before="200" w:after="200"/>
    </w:pPr>
    <w:rPr>
      <w:sz w:val="24"/>
      <w:szCs w:val="24"/>
    </w:rPr>
  </w:style>
  <w:style w:type="character" w:styleId="704">
    <w:name w:val="Subtitle Char"/>
    <w:link w:val="703"/>
    <w:uiPriority w:val="11"/>
    <w:rPr>
      <w:sz w:val="24"/>
      <w:szCs w:val="24"/>
    </w:rPr>
  </w:style>
  <w:style w:type="paragraph" w:styleId="705">
    <w:name w:val="Quote"/>
    <w:basedOn w:val="859"/>
    <w:next w:val="859"/>
    <w:link w:val="706"/>
    <w:uiPriority w:val="29"/>
    <w:qFormat/>
    <w:pPr>
      <w:ind w:left="720" w:right="720"/>
    </w:pPr>
    <w:rPr>
      <w:i/>
    </w:rPr>
  </w:style>
  <w:style w:type="character" w:styleId="706">
    <w:name w:val="Quote Char"/>
    <w:link w:val="705"/>
    <w:uiPriority w:val="29"/>
    <w:rPr>
      <w:i/>
    </w:rPr>
  </w:style>
  <w:style w:type="paragraph" w:styleId="707">
    <w:name w:val="Intense Quote"/>
    <w:basedOn w:val="859"/>
    <w:next w:val="859"/>
    <w:link w:val="70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8">
    <w:name w:val="Intense Quote Char"/>
    <w:link w:val="707"/>
    <w:uiPriority w:val="30"/>
    <w:rPr>
      <w:i/>
    </w:rPr>
  </w:style>
  <w:style w:type="paragraph" w:styleId="709">
    <w:name w:val="Header"/>
    <w:basedOn w:val="859"/>
    <w:link w:val="71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0">
    <w:name w:val="Header Char"/>
    <w:link w:val="709"/>
    <w:uiPriority w:val="99"/>
  </w:style>
  <w:style w:type="paragraph" w:styleId="711">
    <w:name w:val="Footer"/>
    <w:basedOn w:val="859"/>
    <w:link w:val="71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2">
    <w:name w:val="Footer Char"/>
    <w:link w:val="711"/>
    <w:uiPriority w:val="99"/>
  </w:style>
  <w:style w:type="paragraph" w:styleId="713">
    <w:name w:val="Caption"/>
    <w:basedOn w:val="859"/>
    <w:next w:val="859"/>
    <w:link w:val="71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4">
    <w:name w:val="Caption Char"/>
    <w:basedOn w:val="713"/>
    <w:link w:val="711"/>
    <w:uiPriority w:val="99"/>
  </w:style>
  <w:style w:type="table" w:styleId="71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1">
    <w:name w:val="Hyperlink"/>
    <w:uiPriority w:val="99"/>
    <w:unhideWhenUsed/>
    <w:rPr>
      <w:color w:val="0000ff" w:themeColor="hyperlink"/>
      <w:u w:val="single"/>
    </w:rPr>
  </w:style>
  <w:style w:type="paragraph" w:styleId="842">
    <w:name w:val="footnote text"/>
    <w:basedOn w:val="859"/>
    <w:link w:val="843"/>
    <w:uiPriority w:val="99"/>
    <w:semiHidden/>
    <w:unhideWhenUsed/>
    <w:pPr>
      <w:spacing w:after="40" w:line="240" w:lineRule="auto"/>
    </w:pPr>
    <w:rPr>
      <w:sz w:val="18"/>
    </w:rPr>
  </w:style>
  <w:style w:type="character" w:styleId="843">
    <w:name w:val="Footnote Text Char"/>
    <w:link w:val="842"/>
    <w:uiPriority w:val="99"/>
    <w:rPr>
      <w:sz w:val="18"/>
    </w:rPr>
  </w:style>
  <w:style w:type="character" w:styleId="844">
    <w:name w:val="footnote reference"/>
    <w:uiPriority w:val="99"/>
    <w:unhideWhenUsed/>
    <w:rPr>
      <w:vertAlign w:val="superscript"/>
    </w:rPr>
  </w:style>
  <w:style w:type="paragraph" w:styleId="845">
    <w:name w:val="endnote text"/>
    <w:basedOn w:val="859"/>
    <w:link w:val="846"/>
    <w:uiPriority w:val="99"/>
    <w:semiHidden/>
    <w:unhideWhenUsed/>
    <w:pPr>
      <w:spacing w:after="0" w:line="240" w:lineRule="auto"/>
    </w:pPr>
    <w:rPr>
      <w:sz w:val="20"/>
    </w:rPr>
  </w:style>
  <w:style w:type="character" w:styleId="846">
    <w:name w:val="Endnote Text Char"/>
    <w:link w:val="845"/>
    <w:uiPriority w:val="99"/>
    <w:rPr>
      <w:sz w:val="20"/>
    </w:rPr>
  </w:style>
  <w:style w:type="character" w:styleId="847">
    <w:name w:val="endnote reference"/>
    <w:uiPriority w:val="99"/>
    <w:semiHidden/>
    <w:unhideWhenUsed/>
    <w:rPr>
      <w:vertAlign w:val="superscript"/>
    </w:rPr>
  </w:style>
  <w:style w:type="paragraph" w:styleId="848">
    <w:name w:val="toc 1"/>
    <w:basedOn w:val="859"/>
    <w:next w:val="859"/>
    <w:uiPriority w:val="39"/>
    <w:unhideWhenUsed/>
    <w:pPr>
      <w:ind w:left="0" w:right="0" w:firstLine="0"/>
      <w:spacing w:after="57"/>
    </w:pPr>
  </w:style>
  <w:style w:type="paragraph" w:styleId="849">
    <w:name w:val="toc 2"/>
    <w:basedOn w:val="859"/>
    <w:next w:val="859"/>
    <w:uiPriority w:val="39"/>
    <w:unhideWhenUsed/>
    <w:pPr>
      <w:ind w:left="283" w:right="0" w:firstLine="0"/>
      <w:spacing w:after="57"/>
    </w:pPr>
  </w:style>
  <w:style w:type="paragraph" w:styleId="850">
    <w:name w:val="toc 3"/>
    <w:basedOn w:val="859"/>
    <w:next w:val="859"/>
    <w:uiPriority w:val="39"/>
    <w:unhideWhenUsed/>
    <w:pPr>
      <w:ind w:left="567" w:right="0" w:firstLine="0"/>
      <w:spacing w:after="57"/>
    </w:pPr>
  </w:style>
  <w:style w:type="paragraph" w:styleId="851">
    <w:name w:val="toc 4"/>
    <w:basedOn w:val="859"/>
    <w:next w:val="859"/>
    <w:uiPriority w:val="39"/>
    <w:unhideWhenUsed/>
    <w:pPr>
      <w:ind w:left="850" w:right="0" w:firstLine="0"/>
      <w:spacing w:after="57"/>
    </w:pPr>
  </w:style>
  <w:style w:type="paragraph" w:styleId="852">
    <w:name w:val="toc 5"/>
    <w:basedOn w:val="859"/>
    <w:next w:val="859"/>
    <w:uiPriority w:val="39"/>
    <w:unhideWhenUsed/>
    <w:pPr>
      <w:ind w:left="1134" w:right="0" w:firstLine="0"/>
      <w:spacing w:after="57"/>
    </w:pPr>
  </w:style>
  <w:style w:type="paragraph" w:styleId="853">
    <w:name w:val="toc 6"/>
    <w:basedOn w:val="859"/>
    <w:next w:val="859"/>
    <w:uiPriority w:val="39"/>
    <w:unhideWhenUsed/>
    <w:pPr>
      <w:ind w:left="1417" w:right="0" w:firstLine="0"/>
      <w:spacing w:after="57"/>
    </w:pPr>
  </w:style>
  <w:style w:type="paragraph" w:styleId="854">
    <w:name w:val="toc 7"/>
    <w:basedOn w:val="859"/>
    <w:next w:val="859"/>
    <w:uiPriority w:val="39"/>
    <w:unhideWhenUsed/>
    <w:pPr>
      <w:ind w:left="1701" w:right="0" w:firstLine="0"/>
      <w:spacing w:after="57"/>
    </w:pPr>
  </w:style>
  <w:style w:type="paragraph" w:styleId="855">
    <w:name w:val="toc 8"/>
    <w:basedOn w:val="859"/>
    <w:next w:val="859"/>
    <w:uiPriority w:val="39"/>
    <w:unhideWhenUsed/>
    <w:pPr>
      <w:ind w:left="1984" w:right="0" w:firstLine="0"/>
      <w:spacing w:after="57"/>
    </w:pPr>
  </w:style>
  <w:style w:type="paragraph" w:styleId="856">
    <w:name w:val="toc 9"/>
    <w:basedOn w:val="859"/>
    <w:next w:val="859"/>
    <w:uiPriority w:val="39"/>
    <w:unhideWhenUsed/>
    <w:pPr>
      <w:ind w:left="2268" w:right="0" w:firstLine="0"/>
      <w:spacing w:after="57"/>
    </w:pPr>
  </w:style>
  <w:style w:type="paragraph" w:styleId="857">
    <w:name w:val="TOC Heading"/>
    <w:uiPriority w:val="39"/>
    <w:unhideWhenUsed/>
  </w:style>
  <w:style w:type="paragraph" w:styleId="858">
    <w:name w:val="table of figures"/>
    <w:basedOn w:val="859"/>
    <w:next w:val="859"/>
    <w:uiPriority w:val="99"/>
    <w:unhideWhenUsed/>
    <w:pPr>
      <w:spacing w:after="0" w:afterAutospacing="0"/>
    </w:pPr>
  </w:style>
  <w:style w:type="paragraph" w:styleId="859" w:default="1">
    <w:name w:val="Normal"/>
    <w:next w:val="859"/>
    <w:link w:val="859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860">
    <w:name w:val="Основной шрифт абзаца"/>
    <w:next w:val="860"/>
    <w:link w:val="859"/>
    <w:uiPriority w:val="1"/>
    <w:unhideWhenUsed/>
  </w:style>
  <w:style w:type="table" w:styleId="861">
    <w:name w:val="Обычная таблица"/>
    <w:next w:val="861"/>
    <w:link w:val="859"/>
    <w:uiPriority w:val="99"/>
    <w:semiHidden/>
    <w:unhideWhenUsed/>
    <w:qFormat/>
    <w:tblPr/>
  </w:style>
  <w:style w:type="numbering" w:styleId="862">
    <w:name w:val="Нет списка"/>
    <w:next w:val="862"/>
    <w:link w:val="859"/>
    <w:uiPriority w:val="99"/>
    <w:semiHidden/>
    <w:unhideWhenUsed/>
  </w:style>
  <w:style w:type="table" w:styleId="863">
    <w:name w:val="Сетка таблицы"/>
    <w:basedOn w:val="861"/>
    <w:next w:val="863"/>
    <w:link w:val="859"/>
    <w:uiPriority w:val="59"/>
    <w:pPr>
      <w:spacing w:after="0" w:line="240" w:lineRule="auto"/>
    </w:pPr>
    <w:tblPr/>
  </w:style>
  <w:style w:type="paragraph" w:styleId="864">
    <w:name w:val="List Paragraph"/>
    <w:basedOn w:val="859"/>
    <w:next w:val="864"/>
    <w:link w:val="859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65">
    <w:name w:val="Основной текст с отступом"/>
    <w:basedOn w:val="859"/>
    <w:next w:val="865"/>
    <w:link w:val="866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  <w:lang w:val="en-US" w:eastAsia="en-US"/>
    </w:rPr>
  </w:style>
  <w:style w:type="character" w:styleId="866">
    <w:name w:val="Основной текст с отступом Знак"/>
    <w:next w:val="866"/>
    <w:link w:val="865"/>
    <w:rPr>
      <w:rFonts w:ascii="Times New Roman" w:hAnsi="Times New Roman" w:eastAsia="Times New Roman"/>
      <w:sz w:val="24"/>
      <w:szCs w:val="24"/>
    </w:rPr>
  </w:style>
  <w:style w:type="paragraph" w:styleId="867">
    <w:name w:val="Текст выноски"/>
    <w:basedOn w:val="859"/>
    <w:next w:val="867"/>
    <w:link w:val="868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868">
    <w:name w:val="Текст выноски Знак"/>
    <w:next w:val="868"/>
    <w:link w:val="867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869">
    <w:name w:val="Стиль3"/>
    <w:basedOn w:val="859"/>
    <w:next w:val="869"/>
    <w:link w:val="870"/>
    <w:uiPriority w:val="99"/>
    <w:pPr>
      <w:ind w:firstLine="567"/>
      <w:jc w:val="both"/>
      <w:keepLines/>
      <w:spacing w:after="0" w:line="360" w:lineRule="auto"/>
    </w:pPr>
    <w:rPr>
      <w:rFonts w:ascii="Arial" w:hAnsi="Arial" w:eastAsia="Times New Roman"/>
      <w:lang w:val="en-US" w:eastAsia="en-US"/>
    </w:rPr>
  </w:style>
  <w:style w:type="character" w:styleId="870">
    <w:name w:val="Стиль3 Знак"/>
    <w:next w:val="870"/>
    <w:link w:val="869"/>
    <w:uiPriority w:val="99"/>
    <w:rPr>
      <w:rFonts w:ascii="Arial" w:hAnsi="Arial" w:eastAsia="Times New Roman" w:cs="Arial"/>
      <w:sz w:val="22"/>
      <w:szCs w:val="22"/>
    </w:rPr>
  </w:style>
  <w:style w:type="paragraph" w:styleId="871">
    <w:name w:val="Верхний колонтитул"/>
    <w:basedOn w:val="859"/>
    <w:next w:val="871"/>
    <w:link w:val="872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872">
    <w:name w:val="Верхний колонтитул Знак"/>
    <w:next w:val="872"/>
    <w:link w:val="871"/>
    <w:uiPriority w:val="99"/>
    <w:rPr>
      <w:sz w:val="22"/>
      <w:szCs w:val="22"/>
      <w:lang w:eastAsia="en-US"/>
    </w:rPr>
  </w:style>
  <w:style w:type="paragraph" w:styleId="873">
    <w:name w:val="Нижний колонтитул"/>
    <w:basedOn w:val="859"/>
    <w:next w:val="873"/>
    <w:link w:val="874"/>
    <w:uiPriority w:val="99"/>
    <w:unhideWhenUsed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874">
    <w:name w:val="Нижний колонтитул Знак"/>
    <w:next w:val="874"/>
    <w:link w:val="873"/>
    <w:uiPriority w:val="99"/>
    <w:rPr>
      <w:sz w:val="22"/>
      <w:szCs w:val="22"/>
      <w:lang w:eastAsia="en-US"/>
    </w:rPr>
  </w:style>
  <w:style w:type="character" w:styleId="875">
    <w:name w:val="Font Style39"/>
    <w:next w:val="875"/>
    <w:link w:val="85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876">
    <w:name w:val="Знак примечания"/>
    <w:next w:val="876"/>
    <w:link w:val="859"/>
    <w:uiPriority w:val="99"/>
    <w:semiHidden/>
    <w:unhideWhenUsed/>
    <w:rPr>
      <w:sz w:val="16"/>
      <w:szCs w:val="16"/>
    </w:rPr>
  </w:style>
  <w:style w:type="paragraph" w:styleId="877">
    <w:name w:val="Текст примечания"/>
    <w:basedOn w:val="859"/>
    <w:next w:val="877"/>
    <w:link w:val="878"/>
    <w:uiPriority w:val="99"/>
    <w:semiHidden/>
    <w:unhideWhenUsed/>
    <w:rPr>
      <w:sz w:val="20"/>
      <w:szCs w:val="20"/>
      <w:lang w:val="en-US"/>
    </w:rPr>
  </w:style>
  <w:style w:type="character" w:styleId="878">
    <w:name w:val="Текст примечания Знак"/>
    <w:next w:val="878"/>
    <w:link w:val="877"/>
    <w:uiPriority w:val="99"/>
    <w:semiHidden/>
    <w:rPr>
      <w:lang w:eastAsia="en-US"/>
    </w:rPr>
  </w:style>
  <w:style w:type="paragraph" w:styleId="879">
    <w:name w:val="Тема примечания"/>
    <w:basedOn w:val="877"/>
    <w:next w:val="877"/>
    <w:link w:val="880"/>
    <w:uiPriority w:val="99"/>
    <w:semiHidden/>
    <w:unhideWhenUsed/>
    <w:rPr>
      <w:b/>
      <w:bCs/>
    </w:rPr>
  </w:style>
  <w:style w:type="character" w:styleId="880">
    <w:name w:val="Тема примечания Знак"/>
    <w:next w:val="880"/>
    <w:link w:val="879"/>
    <w:uiPriority w:val="99"/>
    <w:semiHidden/>
    <w:rPr>
      <w:b/>
      <w:bCs/>
      <w:lang w:eastAsia="en-US"/>
    </w:rPr>
  </w:style>
  <w:style w:type="paragraph" w:styleId="881">
    <w:name w:val="Абзац списка"/>
    <w:basedOn w:val="859"/>
    <w:next w:val="881"/>
    <w:link w:val="859"/>
    <w:uiPriority w:val="34"/>
    <w:qFormat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82">
    <w:name w:val="Текст"/>
    <w:basedOn w:val="859"/>
    <w:next w:val="882"/>
    <w:link w:val="883"/>
    <w:uiPriority w:val="99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styleId="883">
    <w:name w:val="Текст Знак"/>
    <w:next w:val="883"/>
    <w:link w:val="882"/>
    <w:uiPriority w:val="99"/>
    <w:rPr>
      <w:rFonts w:eastAsia="Times New Roman" w:cs="Times New Roman"/>
      <w:sz w:val="22"/>
      <w:szCs w:val="21"/>
      <w:lang w:eastAsia="en-US"/>
    </w:rPr>
  </w:style>
  <w:style w:type="character" w:styleId="884" w:default="1">
    <w:name w:val="Default Paragraph Font"/>
    <w:uiPriority w:val="1"/>
    <w:semiHidden/>
    <w:unhideWhenUsed/>
  </w:style>
  <w:style w:type="numbering" w:styleId="885" w:default="1">
    <w:name w:val="No List"/>
    <w:uiPriority w:val="99"/>
    <w:semiHidden/>
    <w:unhideWhenUsed/>
  </w:style>
  <w:style w:type="table" w:styleId="88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Сибири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revision>27</cp:revision>
  <dcterms:created xsi:type="dcterms:W3CDTF">2023-09-28T03:44:00Z</dcterms:created>
  <dcterms:modified xsi:type="dcterms:W3CDTF">2025-09-16T10:32:59Z</dcterms:modified>
  <cp:version>1048576</cp:version>
</cp:coreProperties>
</file>